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40" w:before="0" w:line="240"/>
      </w:pPr>
      <w:r>
        <w:rPr>
          <w:rFonts w:ascii="Arial" w:cs="Arial" w:eastAsia="Arial" w:hAnsi="Arial"/>
          <w:b/>
          <w:bCs/>
          <w:color w:val="1E6FA8"/>
          <w:sz w:val="18"/>
          <w:szCs w:val="18"/>
        </w:rPr>
        <w:t xml:space="preserve">How I do it</w:t>
      </w:r>
    </w:p>
    <w:p>
      <w:pPr>
        <w:pStyle w:val="Title"/>
        <w:keepNext/>
        <w:spacing w:after="80" w:before="0" w:line="240"/>
      </w:pPr>
      <w:r>
        <w:rPr>
          <w:rFonts w:ascii="Arial" w:cs="Arial" w:eastAsia="Arial" w:hAnsi="Arial"/>
          <w:b/>
          <w:bCs/>
          <w:color w:val="0B0E14"/>
          <w:sz w:val="40"/>
          <w:szCs w:val="40"/>
        </w:rPr>
        <w:t xml:space="preserve">CathLabHub protocol template</w:t>
      </w:r>
    </w:p>
    <w:p>
      <w:pPr>
        <w:keepNext/>
        <w:spacing w:after="80" w:before="0" w:line="264"/>
      </w:pPr>
      <w:r>
        <w:rPr>
          <w:rFonts w:ascii="Arial" w:cs="Arial" w:eastAsia="Arial" w:hAnsi="Arial"/>
          <w:color w:val="5B6472"/>
          <w:sz w:val="22"/>
          <w:szCs w:val="22"/>
        </w:rPr>
        <w:t xml:space="preserve">[One sentence: what the procedure is, the access route and when this protocol applies. Replace the title above with the procedure name, for example Transcatheter aortic valve replacement (TAVR).]</w:t>
      </w:r>
    </w:p>
    <w:p>
      <w:pPr>
        <w:keepNext/>
        <w:spacing w:after="100" w:before="0" w:line="240"/>
      </w:pPr>
      <w:r>
        <w:rPr>
          <w:rFonts w:ascii="Arial" w:cs="Arial" w:eastAsia="Arial" w:hAnsi="Arial"/>
          <w:color w:val="7A8290"/>
          <w:sz w:val="17"/>
          <w:szCs w:val="17"/>
        </w:rPr>
        <w:t xml:space="preserve">Version 1.0  |  Updated October 2026</w:t>
      </w:r>
    </w:p>
    <w:p>
      <w:pPr>
        <w:pBdr>
          <w:bottom w:val="single" w:color="D3DAE3" w:sz="6" w:space="6"/>
        </w:pBdr>
        <w:spacing w:after="120" w:before="0" w:line="252"/>
      </w:pPr>
      <w:r>
        <w:rPr>
          <w:rFonts w:ascii="Arial" w:cs="Arial" w:eastAsia="Arial" w:hAnsi="Arial"/>
          <w:i/>
          <w:iCs/>
          <w:color w:val="5B6472"/>
          <w:sz w:val="18"/>
          <w:szCs w:val="18"/>
        </w:rPr>
        <w:t xml:space="preserve">One lab’s practice, shared for others to adapt. Your local policy and current guidelines govern.</w:t>
      </w:r>
    </w:p>
    <w:p>
      <w:pPr>
        <w:pStyle w:val="Heading1"/>
        <w:keepNext/>
        <w:keepLines/>
        <w:spacing w:after="100" w:before="200" w:line="240"/>
      </w:pPr>
      <w:r>
        <w:rPr>
          <w:rFonts w:ascii="Arial" w:cs="Arial" w:eastAsia="Arial" w:hAnsi="Arial"/>
          <w:b/>
          <w:bCs/>
          <w:color w:val="1E6FA8"/>
          <w:sz w:val="26"/>
          <w:szCs w:val="26"/>
        </w:rPr>
        <w:t xml:space="preserve">Equipment</w:t>
      </w:r>
    </w:p>
    <w:p>
      <w:pPr>
        <w:keepNext/>
        <w:keepLines/>
        <w:pBdr>
          <w:top w:val="single" w:color="EEF5FB" w:sz="2" w:space="4"/>
          <w:left w:val="single" w:color="1E6FA8" w:sz="18" w:space="8"/>
          <w:bottom w:val="single" w:color="EEF5FB" w:sz="2" w:space="4"/>
          <w:right w:val="single" w:color="EEF5FB" w:sz="2" w:space="8"/>
        </w:pBdr>
        <w:shd w:fill="EEF5FB" w:color="auto" w:val="clear"/>
        <w:spacing w:after="40" w:before="80" w:line="276"/>
        <w:ind w:left="160" w:right="160"/>
      </w:pPr>
      <w:r>
        <w:rPr>
          <w:rFonts w:ascii="Arial" w:cs="Arial" w:eastAsia="Arial" w:hAnsi="Arial"/>
          <w:b/>
          <w:bCs/>
          <w:color w:val="1E6FA8"/>
          <w:sz w:val="20"/>
          <w:szCs w:val="20"/>
        </w:rPr>
        <w:t xml:space="preserve">How to use this template</w:t>
      </w:r>
    </w:p>
    <w:p>
      <w:pPr>
        <w:keepNext/>
        <w:keepLines/>
        <w:pBdr>
          <w:top w:val="single" w:color="EEF5FB" w:sz="2" w:space="4"/>
          <w:left w:val="single" w:color="1E6FA8" w:sz="18" w:space="8"/>
          <w:bottom w:val="single" w:color="EEF5FB" w:sz="2" w:space="4"/>
          <w:right w:val="single" w:color="EEF5FB" w:sz="2" w:space="8"/>
        </w:pBdr>
        <w:shd w:fill="EEF5FB" w:color="auto" w:val="clear"/>
        <w:spacing w:after="40" w:before="0" w:line="276"/>
        <w:ind w:left="160" w:right="160"/>
      </w:pPr>
      <w:r>
        <w:rPr>
          <w:rFonts w:ascii="Arial" w:cs="Arial" w:eastAsia="Arial" w:hAnsi="Arial"/>
          <w:color w:val="1D232C"/>
          <w:sz w:val="20"/>
          <w:szCs w:val="20"/>
        </w:rPr>
        <w:t xml:space="preserve">•  Replace every line in [brackets] with your own text, then delete this box.</w:t>
      </w:r>
    </w:p>
    <w:p>
      <w:pPr>
        <w:keepNext/>
        <w:keepLines/>
        <w:pBdr>
          <w:top w:val="single" w:color="EEF5FB" w:sz="2" w:space="4"/>
          <w:left w:val="single" w:color="1E6FA8" w:sz="18" w:space="8"/>
          <w:bottom w:val="single" w:color="EEF5FB" w:sz="2" w:space="4"/>
          <w:right w:val="single" w:color="EEF5FB" w:sz="2" w:space="8"/>
        </w:pBdr>
        <w:shd w:fill="EEF5FB" w:color="auto" w:val="clear"/>
        <w:spacing w:after="40" w:before="0" w:line="276"/>
        <w:ind w:left="160" w:right="160"/>
      </w:pPr>
      <w:r>
        <w:rPr>
          <w:rFonts w:ascii="Arial" w:cs="Arial" w:eastAsia="Arial" w:hAnsi="Arial"/>
          <w:color w:val="1D232C"/>
          <w:sz w:val="20"/>
          <w:szCs w:val="20"/>
        </w:rPr>
        <w:t xml:space="preserve">•  Keep the five section headings. Leave a section out only when it does not apply to the procedure.</w:t>
      </w:r>
    </w:p>
    <w:p>
      <w:pPr>
        <w:keepNext/>
        <w:keepLines/>
        <w:pBdr>
          <w:top w:val="single" w:color="EEF5FB" w:sz="2" w:space="4"/>
          <w:left w:val="single" w:color="1E6FA8" w:sz="18" w:space="8"/>
          <w:bottom w:val="single" w:color="EEF5FB" w:sz="2" w:space="4"/>
          <w:right w:val="single" w:color="EEF5FB" w:sz="2" w:space="8"/>
        </w:pBdr>
        <w:shd w:fill="EEF5FB" w:color="auto" w:val="clear"/>
        <w:spacing w:after="40" w:before="0" w:line="276"/>
        <w:ind w:left="160" w:right="160"/>
      </w:pPr>
      <w:r>
        <w:rPr>
          <w:rFonts w:ascii="Arial" w:cs="Arial" w:eastAsia="Arial" w:hAnsi="Arial"/>
          <w:color w:val="1D232C"/>
          <w:sz w:val="20"/>
          <w:szCs w:val="20"/>
        </w:rPr>
        <w:t xml:space="preserve">•  No patient details, no staff names and no institution logos. Your attribution (unsigned, name, or name and institution) is set on your operator page, not in the document.</w:t>
      </w:r>
    </w:p>
    <w:p>
      <w:pPr>
        <w:keepNext w:val="false"/>
        <w:keepLines/>
        <w:pBdr>
          <w:top w:val="single" w:color="EEF5FB" w:sz="2" w:space="4"/>
          <w:left w:val="single" w:color="1E6FA8" w:sz="18" w:space="8"/>
          <w:bottom w:val="single" w:color="EEF5FB" w:sz="2" w:space="4"/>
          <w:right w:val="single" w:color="EEF5FB" w:sz="2" w:space="8"/>
        </w:pBdr>
        <w:shd w:fill="EEF5FB" w:color="auto" w:val="clear"/>
        <w:spacing w:after="200" w:before="0" w:line="276"/>
        <w:ind w:left="160" w:right="160"/>
      </w:pPr>
      <w:r>
        <w:rPr>
          <w:rFonts w:ascii="Arial" w:cs="Arial" w:eastAsia="Arial" w:hAnsi="Arial"/>
          <w:color w:val="1D232C"/>
          <w:sz w:val="20"/>
          <w:szCs w:val="20"/>
        </w:rPr>
        <w:t xml:space="preserve">•  Generic device names or brand names are both fine; say which ones you use.</w:t>
      </w:r>
    </w:p>
    <w:tbl>
      <w:tblPr>
        <w:tblW w:type="dxa" w:w="9792"/>
        <w:tblBorders>
          <w:top w:val="single" w:color="D3DAE3" w:sz="6"/>
          <w:left w:val="none" w:color="FFFFFF" w:sz="0"/>
          <w:bottom w:val="single" w:color="D3DAE3" w:sz="6"/>
          <w:right w:val="none" w:color="FFFFFF" w:sz="0"/>
          <w:insideH w:val="single" w:color="D3DAE3" w:sz="4"/>
          <w:insideV w:val="none" w:color="FFFFFF" w:sz="0"/>
        </w:tblBorders>
        <w:tblLayout w:type="fixed"/>
      </w:tblPr>
      <w:tblGrid>
        <w:gridCol w:w="2742"/>
        <w:gridCol w:w="3525"/>
        <w:gridCol w:w="3525"/>
      </w:tblGrid>
      <w:tr>
        <w:trPr>
          <w:cantSplit/>
          <w:tblHeader/>
        </w:trPr>
        <w:tc>
          <w:tcPr>
            <w:tcW w:type="dxa" w:w="2742"/>
            <w:shd w:fill="E6F0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0B0E14"/>
                <w:sz w:val="19"/>
                <w:szCs w:val="19"/>
              </w:rPr>
              <w:t xml:space="preserve">Item</w:t>
            </w:r>
          </w:p>
        </w:tc>
        <w:tc>
          <w:tcPr>
            <w:tcW w:type="dxa" w:w="3525"/>
            <w:shd w:fill="E6F0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0B0E14"/>
                <w:sz w:val="19"/>
                <w:szCs w:val="19"/>
              </w:rPr>
              <w:t xml:space="preserve">Product</w:t>
            </w:r>
          </w:p>
        </w:tc>
        <w:tc>
          <w:tcPr>
            <w:tcW w:type="dxa" w:w="3525"/>
            <w:shd w:fill="E6F0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0B0E14"/>
                <w:sz w:val="19"/>
                <w:szCs w:val="19"/>
              </w:rPr>
              <w:t xml:space="preserve">Quantity and notes</w:t>
            </w:r>
          </w:p>
        </w:tc>
      </w:tr>
      <w:tr>
        <w:trPr>
          <w:cantSplit/>
        </w:trPr>
        <w:tc>
          <w:tcPr>
            <w:tcW w:type="dxa" w:w="2742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1D232C"/>
                <w:sz w:val="19"/>
                <w:szCs w:val="19"/>
              </w:rPr>
              <w:t xml:space="preserve">[Access]</w:t>
            </w:r>
          </w:p>
        </w:tc>
        <w:tc>
          <w:tcPr>
            <w:tcW w:type="dxa" w:w="3525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1D232C"/>
                <w:sz w:val="19"/>
                <w:szCs w:val="19"/>
              </w:rPr>
              <w:t xml:space="preserve">[Sheath, size and length]</w:t>
            </w:r>
          </w:p>
        </w:tc>
        <w:tc>
          <w:tcPr>
            <w:tcW w:type="dxa" w:w="3525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1D232C"/>
                <w:sz w:val="19"/>
                <w:szCs w:val="19"/>
              </w:rPr>
              <w:t xml:space="preserve">[Quantity; when you use it]</w:t>
            </w:r>
          </w:p>
        </w:tc>
      </w:tr>
      <w:tr>
        <w:trPr>
          <w:cantSplit/>
        </w:trPr>
        <w:tc>
          <w:tcPr>
            <w:tcW w:type="dxa" w:w="2742"/>
            <w:shd w:fill="F5F7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1D232C"/>
                <w:sz w:val="19"/>
                <w:szCs w:val="19"/>
              </w:rPr>
              <w:t xml:space="preserve">[Wires]</w:t>
            </w:r>
          </w:p>
        </w:tc>
        <w:tc>
          <w:tcPr>
            <w:tcW w:type="dxa" w:w="3525"/>
            <w:shd w:fill="F5F7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1D232C"/>
                <w:sz w:val="19"/>
                <w:szCs w:val="19"/>
              </w:rPr>
              <w:t xml:space="preserve">[Wire name]</w:t>
            </w:r>
          </w:p>
        </w:tc>
        <w:tc>
          <w:tcPr>
            <w:tcW w:type="dxa" w:w="3525"/>
            <w:shd w:fill="F5F7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1D232C"/>
                <w:sz w:val="19"/>
                <w:szCs w:val="19"/>
              </w:rPr>
              <w:t xml:space="preserve">[Quantity; notes]</w:t>
            </w:r>
          </w:p>
        </w:tc>
      </w:tr>
      <w:tr>
        <w:trPr>
          <w:cantSplit/>
        </w:trPr>
        <w:tc>
          <w:tcPr>
            <w:tcW w:type="dxa" w:w="2742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1D232C"/>
                <w:sz w:val="19"/>
                <w:szCs w:val="19"/>
              </w:rPr>
              <w:t xml:space="preserve">[Catheters]</w:t>
            </w:r>
          </w:p>
        </w:tc>
        <w:tc>
          <w:tcPr>
            <w:tcW w:type="dxa" w:w="3525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1D232C"/>
                <w:sz w:val="19"/>
                <w:szCs w:val="19"/>
              </w:rPr>
              <w:t xml:space="preserve">[Catheter name and curve]</w:t>
            </w:r>
          </w:p>
        </w:tc>
        <w:tc>
          <w:tcPr>
            <w:tcW w:type="dxa" w:w="3525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1D232C"/>
                <w:sz w:val="19"/>
                <w:szCs w:val="19"/>
              </w:rPr>
              <w:t xml:space="preserve">[Quantity; notes]</w:t>
            </w:r>
          </w:p>
        </w:tc>
      </w:tr>
      <w:tr>
        <w:trPr>
          <w:cantSplit/>
        </w:trPr>
        <w:tc>
          <w:tcPr>
            <w:tcW w:type="dxa" w:w="2742"/>
            <w:shd w:fill="F5F7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1D232C"/>
                <w:sz w:val="19"/>
                <w:szCs w:val="19"/>
              </w:rPr>
              <w:t xml:space="preserve">[Device]</w:t>
            </w:r>
          </w:p>
        </w:tc>
        <w:tc>
          <w:tcPr>
            <w:tcW w:type="dxa" w:w="3525"/>
            <w:shd w:fill="F5F7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1D232C"/>
                <w:sz w:val="19"/>
                <w:szCs w:val="19"/>
              </w:rPr>
              <w:t xml:space="preserve">[Device and sizes kept on the shelf]</w:t>
            </w:r>
          </w:p>
        </w:tc>
        <w:tc>
          <w:tcPr>
            <w:tcW w:type="dxa" w:w="3525"/>
            <w:shd w:fill="F5F7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1D232C"/>
                <w:sz w:val="19"/>
                <w:szCs w:val="19"/>
              </w:rPr>
              <w:t xml:space="preserve">[Notes on sizing]</w:t>
            </w:r>
          </w:p>
        </w:tc>
      </w:tr>
      <w:tr>
        <w:trPr>
          <w:cantSplit/>
        </w:trPr>
        <w:tc>
          <w:tcPr>
            <w:tcW w:type="dxa" w:w="2742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1D232C"/>
                <w:sz w:val="19"/>
                <w:szCs w:val="19"/>
              </w:rPr>
              <w:t xml:space="preserve">[Imaging]</w:t>
            </w:r>
          </w:p>
        </w:tc>
        <w:tc>
          <w:tcPr>
            <w:tcW w:type="dxa" w:w="3525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1D232C"/>
                <w:sz w:val="19"/>
                <w:szCs w:val="19"/>
              </w:rPr>
              <w:t xml:space="preserve">[TEE, ICE or fluoroscopy only]</w:t>
            </w:r>
          </w:p>
        </w:tc>
        <w:tc>
          <w:tcPr>
            <w:tcW w:type="dxa" w:w="3525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1D232C"/>
                <w:sz w:val="19"/>
                <w:szCs w:val="19"/>
              </w:rPr>
              <w:t xml:space="preserve">[Notes]</w:t>
            </w:r>
          </w:p>
        </w:tc>
      </w:tr>
      <w:tr>
        <w:trPr>
          <w:cantSplit/>
        </w:trPr>
        <w:tc>
          <w:tcPr>
            <w:tcW w:type="dxa" w:w="2742"/>
            <w:shd w:fill="F5F7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1D232C"/>
                <w:sz w:val="19"/>
                <w:szCs w:val="19"/>
              </w:rPr>
              <w:t xml:space="preserve">[Closure]</w:t>
            </w:r>
          </w:p>
        </w:tc>
        <w:tc>
          <w:tcPr>
            <w:tcW w:type="dxa" w:w="3525"/>
            <w:shd w:fill="F5F7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1D232C"/>
                <w:sz w:val="19"/>
                <w:szCs w:val="19"/>
              </w:rPr>
              <w:t xml:space="preserve">[Closure device]</w:t>
            </w:r>
          </w:p>
        </w:tc>
        <w:tc>
          <w:tcPr>
            <w:tcW w:type="dxa" w:w="3525"/>
            <w:shd w:fill="F5F7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1D232C"/>
                <w:sz w:val="19"/>
                <w:szCs w:val="19"/>
              </w:rPr>
              <w:t xml:space="preserve">[Notes]</w:t>
            </w:r>
          </w:p>
        </w:tc>
      </w:tr>
    </w:tbl>
    <w:p>
      <w:pPr>
        <w:pStyle w:val="Heading1"/>
        <w:keepNext/>
        <w:keepLines/>
        <w:spacing w:after="100" w:before="260" w:line="240"/>
      </w:pPr>
      <w:r>
        <w:rPr>
          <w:rFonts w:ascii="Arial" w:cs="Arial" w:eastAsia="Arial" w:hAnsi="Arial"/>
          <w:b/>
          <w:bCs/>
          <w:color w:val="1E6FA8"/>
          <w:sz w:val="26"/>
          <w:szCs w:val="26"/>
        </w:rPr>
        <w:t xml:space="preserve">Technique</w:t>
      </w:r>
    </w:p>
    <w:p>
      <w:pPr>
        <w:spacing w:after="120" w:before="0" w:line="276"/>
      </w:pPr>
      <w:r>
        <w:rPr>
          <w:rFonts w:ascii="Arial" w:cs="Arial" w:eastAsia="Arial" w:hAnsi="Arial"/>
          <w:i/>
          <w:iCs/>
          <w:color w:val="5B6472"/>
          <w:sz w:val="19"/>
          <w:szCs w:val="19"/>
        </w:rPr>
        <w:t xml:space="preserve">[Add the access in brackets to the heading when the protocol is for one route, for example Technique (transfemoral).]</w:t>
      </w:r>
    </w:p>
    <w:p>
      <w:pPr>
        <w:pStyle w:val="ListParagraph"/>
        <w:keepLines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D232C"/>
          <w:sz w:val="21"/>
          <w:szCs w:val="21"/>
        </w:rPr>
        <w:t xml:space="preserve">[Preparation: anesthesia or sedation, positioning, antibiotics, anticoagulation and the target ACT.]</w:t>
      </w:r>
    </w:p>
    <w:p>
      <w:pPr>
        <w:pStyle w:val="ListParagraph"/>
        <w:keepLines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D232C"/>
          <w:sz w:val="21"/>
          <w:szCs w:val="21"/>
        </w:rPr>
        <w:t xml:space="preserve">[Access: site, ultrasound guidance, sheath.]</w:t>
      </w:r>
    </w:p>
    <w:p>
      <w:pPr>
        <w:pStyle w:val="ListParagraph"/>
        <w:keepLines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D232C"/>
          <w:sz w:val="21"/>
          <w:szCs w:val="21"/>
        </w:rPr>
        <w:t xml:space="preserve">[The main step, one action per step, in the order you do it.]</w:t>
      </w:r>
    </w:p>
    <w:p>
      <w:pPr>
        <w:pStyle w:val="ListParagraph"/>
        <w:keepLines/>
        <w:numPr>
          <w:ilvl w:val="1"/>
          <w:numId w:val="2"/>
        </w:numPr>
        <w:spacing w:after="40" w:before="0" w:line="276"/>
      </w:pPr>
      <w:r>
        <w:rPr>
          <w:rFonts w:ascii="Arial" w:cs="Arial" w:eastAsia="Arial" w:hAnsi="Arial"/>
          <w:color w:val="1D232C"/>
          <w:sz w:val="20"/>
          <w:szCs w:val="20"/>
        </w:rPr>
        <w:t xml:space="preserve">[A detail or a check under this step.]</w:t>
      </w:r>
    </w:p>
    <w:p>
      <w:pPr>
        <w:pStyle w:val="ListParagraph"/>
        <w:keepLines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D232C"/>
          <w:sz w:val="21"/>
          <w:szCs w:val="21"/>
        </w:rPr>
        <w:t xml:space="preserve">[Deployment or treatment.]</w:t>
      </w:r>
    </w:p>
    <w:p>
      <w:pPr>
        <w:pStyle w:val="ListParagraph"/>
        <w:keepLines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D232C"/>
          <w:sz w:val="21"/>
          <w:szCs w:val="21"/>
        </w:rPr>
        <w:t xml:space="preserve">[Assessment of the result: imaging, hemodynamics, what you accept.]</w:t>
      </w:r>
    </w:p>
    <w:p>
      <w:pPr>
        <w:pStyle w:val="ListParagraph"/>
        <w:keepLines/>
        <w:numPr>
          <w:ilvl w:val="0"/>
          <w:numId w:val="2"/>
        </w:numPr>
        <w:spacing w:after="120" w:before="0" w:line="276"/>
      </w:pPr>
      <w:r>
        <w:rPr>
          <w:rFonts w:ascii="Arial" w:cs="Arial" w:eastAsia="Arial" w:hAnsi="Arial"/>
          <w:color w:val="1D232C"/>
          <w:sz w:val="21"/>
          <w:szCs w:val="21"/>
        </w:rPr>
        <w:t xml:space="preserve">[Removal of the system.]</w:t>
      </w:r>
    </w:p>
    <w:p>
      <w:pPr>
        <w:pStyle w:val="Heading1"/>
        <w:keepNext/>
        <w:keepLines/>
        <w:spacing w:after="100" w:before="260" w:line="240"/>
      </w:pPr>
      <w:r>
        <w:rPr>
          <w:rFonts w:ascii="Arial" w:cs="Arial" w:eastAsia="Arial" w:hAnsi="Arial"/>
          <w:b/>
          <w:bCs/>
          <w:color w:val="1E6FA8"/>
          <w:sz w:val="26"/>
          <w:szCs w:val="26"/>
        </w:rPr>
        <w:t xml:space="preserve">Add-ons and alternative access</w:t>
      </w:r>
    </w:p>
    <w:tbl>
      <w:tblPr>
        <w:tblW w:type="dxa" w:w="9792"/>
        <w:tblBorders>
          <w:top w:val="single" w:color="D3DAE3" w:sz="6"/>
          <w:left w:val="none" w:color="FFFFFF" w:sz="0"/>
          <w:bottom w:val="single" w:color="D3DAE3" w:sz="6"/>
          <w:right w:val="none" w:color="FFFFFF" w:sz="0"/>
          <w:insideH w:val="single" w:color="D3DAE3" w:sz="4"/>
          <w:insideV w:val="none" w:color="FFFFFF" w:sz="0"/>
        </w:tblBorders>
        <w:tblLayout w:type="fixed"/>
      </w:tblPr>
      <w:tblGrid>
        <w:gridCol w:w="2938"/>
        <w:gridCol w:w="6854"/>
      </w:tblGrid>
      <w:tr>
        <w:trPr>
          <w:cantSplit/>
          <w:tblHeader/>
        </w:trPr>
        <w:tc>
          <w:tcPr>
            <w:tcW w:type="dxa" w:w="2938"/>
            <w:shd w:fill="E6F0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0B0E14"/>
                <w:sz w:val="19"/>
                <w:szCs w:val="19"/>
              </w:rPr>
              <w:t xml:space="preserve">Add-on</w:t>
            </w:r>
          </w:p>
        </w:tc>
        <w:tc>
          <w:tcPr>
            <w:tcW w:type="dxa" w:w="6854"/>
            <w:shd w:fill="E6F0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0B0E14"/>
                <w:sz w:val="19"/>
                <w:szCs w:val="19"/>
              </w:rPr>
              <w:t xml:space="preserve">Technique</w:t>
            </w:r>
          </w:p>
        </w:tc>
      </w:tr>
      <w:tr>
        <w:trPr>
          <w:cantSplit/>
        </w:trPr>
        <w:tc>
          <w:tcPr>
            <w:tcW w:type="dxa" w:w="2938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1D232C"/>
                <w:sz w:val="19"/>
                <w:szCs w:val="19"/>
              </w:rPr>
              <w:t xml:space="preserve">[Add-on, for example embolic protection]</w:t>
            </w:r>
          </w:p>
        </w:tc>
        <w:tc>
          <w:tcPr>
            <w:tcW w:type="dxa" w:w="6854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1D232C"/>
                <w:sz w:val="19"/>
                <w:szCs w:val="19"/>
              </w:rPr>
              <w:t xml:space="preserve">[When you use it and how, in one or two sentences.]</w:t>
            </w:r>
          </w:p>
        </w:tc>
      </w:tr>
      <w:tr>
        <w:trPr>
          <w:cantSplit/>
        </w:trPr>
        <w:tc>
          <w:tcPr>
            <w:tcW w:type="dxa" w:w="2938"/>
            <w:shd w:fill="F5F7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1D232C"/>
                <w:sz w:val="19"/>
                <w:szCs w:val="19"/>
              </w:rPr>
              <w:t xml:space="preserve">[Alternative access]</w:t>
            </w:r>
          </w:p>
        </w:tc>
        <w:tc>
          <w:tcPr>
            <w:tcW w:type="dxa" w:w="6854"/>
            <w:shd w:fill="F5F7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1D232C"/>
                <w:sz w:val="19"/>
                <w:szCs w:val="19"/>
              </w:rPr>
              <w:t xml:space="preserve">[Route and the steps that differ.]</w:t>
            </w:r>
          </w:p>
        </w:tc>
      </w:tr>
    </w:tbl>
    <w:p>
      <w:pPr>
        <w:pStyle w:val="Heading1"/>
        <w:keepNext/>
        <w:keepLines/>
        <w:spacing w:after="100" w:before="260" w:line="240"/>
      </w:pPr>
      <w:r>
        <w:rPr>
          <w:rFonts w:ascii="Arial" w:cs="Arial" w:eastAsia="Arial" w:hAnsi="Arial"/>
          <w:b/>
          <w:bCs/>
          <w:color w:val="1E6FA8"/>
          <w:sz w:val="26"/>
          <w:szCs w:val="26"/>
        </w:rPr>
        <w:t xml:space="preserve">Complications and bailouts</w:t>
      </w:r>
    </w:p>
    <w:tbl>
      <w:tblPr>
        <w:tblW w:type="dxa" w:w="9792"/>
        <w:tblBorders>
          <w:top w:val="single" w:color="D3DAE3" w:sz="6"/>
          <w:left w:val="none" w:color="FFFFFF" w:sz="0"/>
          <w:bottom w:val="single" w:color="D3DAE3" w:sz="6"/>
          <w:right w:val="none" w:color="FFFFFF" w:sz="0"/>
          <w:insideH w:val="single" w:color="D3DAE3" w:sz="4"/>
          <w:insideV w:val="none" w:color="FFFFFF" w:sz="0"/>
        </w:tblBorders>
        <w:tblLayout w:type="fixed"/>
      </w:tblPr>
      <w:tblGrid>
        <w:gridCol w:w="2938"/>
        <w:gridCol w:w="6854"/>
      </w:tblGrid>
      <w:tr>
        <w:trPr>
          <w:cantSplit/>
          <w:tblHeader/>
        </w:trPr>
        <w:tc>
          <w:tcPr>
            <w:tcW w:type="dxa" w:w="2938"/>
            <w:shd w:fill="E6F0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0B0E14"/>
                <w:sz w:val="19"/>
                <w:szCs w:val="19"/>
              </w:rPr>
              <w:t xml:space="preserve">Problem</w:t>
            </w:r>
          </w:p>
        </w:tc>
        <w:tc>
          <w:tcPr>
            <w:tcW w:type="dxa" w:w="6854"/>
            <w:shd w:fill="E6F0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0B0E14"/>
                <w:sz w:val="19"/>
                <w:szCs w:val="19"/>
              </w:rPr>
              <w:t xml:space="preserve">Action</w:t>
            </w:r>
          </w:p>
        </w:tc>
      </w:tr>
      <w:tr>
        <w:trPr>
          <w:cantSplit/>
        </w:trPr>
        <w:tc>
          <w:tcPr>
            <w:tcW w:type="dxa" w:w="2938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1D232C"/>
                <w:sz w:val="19"/>
                <w:szCs w:val="19"/>
              </w:rPr>
              <w:t xml:space="preserve">[Complication]</w:t>
            </w:r>
          </w:p>
        </w:tc>
        <w:tc>
          <w:tcPr>
            <w:tcW w:type="dxa" w:w="6854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1D232C"/>
                <w:sz w:val="19"/>
                <w:szCs w:val="19"/>
              </w:rPr>
              <w:t xml:space="preserve">[How you recognize it and what you do first.]</w:t>
            </w:r>
          </w:p>
        </w:tc>
      </w:tr>
      <w:tr>
        <w:trPr>
          <w:cantSplit/>
        </w:trPr>
        <w:tc>
          <w:tcPr>
            <w:tcW w:type="dxa" w:w="2938"/>
            <w:shd w:fill="F5F7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1D232C"/>
                <w:sz w:val="19"/>
                <w:szCs w:val="19"/>
              </w:rPr>
              <w:t xml:space="preserve">[Complication]</w:t>
            </w:r>
          </w:p>
        </w:tc>
        <w:tc>
          <w:tcPr>
            <w:tcW w:type="dxa" w:w="6854"/>
            <w:shd w:fill="F5F7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1D232C"/>
                <w:sz w:val="19"/>
                <w:szCs w:val="19"/>
              </w:rPr>
              <w:t xml:space="preserve">[Your bailout equipment and steps.]</w:t>
            </w:r>
          </w:p>
        </w:tc>
      </w:tr>
    </w:tbl>
    <w:p>
      <w:pPr>
        <w:pStyle w:val="Heading1"/>
        <w:keepNext/>
        <w:keepLines/>
        <w:spacing w:after="100" w:before="260" w:line="240"/>
      </w:pPr>
      <w:r>
        <w:rPr>
          <w:rFonts w:ascii="Arial" w:cs="Arial" w:eastAsia="Arial" w:hAnsi="Arial"/>
          <w:b/>
          <w:bCs/>
          <w:color w:val="1E6FA8"/>
          <w:sz w:val="26"/>
          <w:szCs w:val="26"/>
        </w:rPr>
        <w:t xml:space="preserve">Closure and after care</w:t>
      </w:r>
    </w:p>
    <w:p>
      <w:pPr>
        <w:pStyle w:val="ListParagraph"/>
        <w:keepLines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D232C"/>
          <w:sz w:val="21"/>
          <w:szCs w:val="21"/>
        </w:rPr>
        <w:t xml:space="preserve">[Closure and sheath removal.]</w:t>
      </w:r>
    </w:p>
    <w:p>
      <w:pPr>
        <w:pStyle w:val="ListParagraph"/>
        <w:keepLines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D232C"/>
          <w:sz w:val="21"/>
          <w:szCs w:val="21"/>
        </w:rPr>
        <w:t xml:space="preserve">[Recovery: where the patient goes, monitoring, bed rest.]</w:t>
      </w:r>
    </w:p>
    <w:p>
      <w:pPr>
        <w:pStyle w:val="ListParagraph"/>
        <w:keepLines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D232C"/>
          <w:sz w:val="21"/>
          <w:szCs w:val="21"/>
        </w:rPr>
        <w:t xml:space="preserve">[Imaging and tests before discharge.]</w:t>
      </w:r>
    </w:p>
    <w:p>
      <w:pPr>
        <w:pStyle w:val="ListParagraph"/>
        <w:keepLines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D232C"/>
          <w:sz w:val="21"/>
          <w:szCs w:val="21"/>
        </w:rPr>
        <w:t xml:space="preserve">[Medications at discharge.]</w:t>
      </w:r>
    </w:p>
    <w:p>
      <w:pPr>
        <w:pStyle w:val="ListParagraph"/>
        <w:keepLines/>
        <w:numPr>
          <w:ilvl w:val="0"/>
          <w:numId w:val="3"/>
        </w:numPr>
        <w:spacing w:after="120" w:before="0" w:line="276"/>
      </w:pPr>
      <w:r>
        <w:rPr>
          <w:rFonts w:ascii="Arial" w:cs="Arial" w:eastAsia="Arial" w:hAnsi="Arial"/>
          <w:color w:val="1D232C"/>
          <w:sz w:val="21"/>
          <w:szCs w:val="21"/>
        </w:rPr>
        <w:t xml:space="preserve">[Follow up.]</w:t>
      </w:r>
    </w:p>
    <w:sectPr>
      <w:headerReference w:type="default" r:id="rId6"/>
      <w:footerReference w:type="default" r:id="rId7"/>
      <w:pgSz w:w="12240" w:h="15840" w:orient="portrait"/>
      <w:pgMar w:top="1152" w:right="1224" w:bottom="1080" w:left="1224" w:header="547" w:footer="54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3DAE3" w:sz="4" w:space="4"/>
      </w:pBdr>
      <w:tabs>
        <w:tab w:val="right" w:pos="9792"/>
      </w:tabs>
      <w:spacing w:after="0" w:before="0"/>
    </w:pPr>
    <w:r>
      <w:rPr>
        <w:rFonts w:ascii="Arial" w:cs="Arial" w:eastAsia="Arial" w:hAnsi="Arial"/>
        <w:color w:val="7A8290"/>
        <w:sz w:val="15"/>
        <w:szCs w:val="15"/>
      </w:rPr>
      <w:t xml:space="preserve">Built by a cath lab for cath labs  |  cathlabhub.com  |  Protocol template v1.0  |  October 2026</w:t>
    </w:r>
    <w:r>
      <w:rPr>
        <w:rFonts w:ascii="Arial" w:cs="Arial" w:eastAsia="Arial" w:hAnsi="Arial"/>
        <w:color w:val="7A8290"/>
        <w:sz w:val="15"/>
        <w:szCs w:val="15"/>
      </w:rPr>
      <w:t xml:space="preserve">	Page </w:t>
    </w:r>
    <w:r>
      <w:rPr>
        <w:rFonts w:ascii="Arial" w:cs="Arial" w:eastAsia="Arial" w:hAnsi="Arial"/>
        <w:color w:val="7A8290"/>
        <w:sz w:val="15"/>
        <w:szCs w:val="15"/>
      </w:rPr>
      <w:fldChar w:fldCharType="begin"/>
    </w:r>
    <w:r>
      <w:rPr>
        <w:rFonts w:ascii="Arial" w:cs="Arial" w:eastAsia="Arial" w:hAnsi="Arial"/>
        <w:color w:val="7A8290"/>
        <w:sz w:val="15"/>
        <w:szCs w:val="15"/>
      </w:rPr>
      <w:instrText xml:space="preserve">PAGE</w:instrText>
    </w:r>
    <w:r>
      <w:rPr>
        <w:rFonts w:ascii="Arial" w:cs="Arial" w:eastAsia="Arial" w:hAnsi="Arial"/>
        <w:color w:val="7A8290"/>
        <w:sz w:val="15"/>
        <w:szCs w:val="15"/>
      </w:rPr>
      <w:fldChar w:fldCharType="separate"/>
    </w:r>
    <w:r>
      <w:rPr>
        <w:rFonts w:ascii="Arial" w:cs="Arial" w:eastAsia="Arial" w:hAnsi="Arial"/>
        <w:color w:val="7A8290"/>
        <w:sz w:val="15"/>
        <w:szCs w:val="15"/>
      </w:rPr>
      <w:fldChar w:fldCharType="end"/>
    </w:r>
    <w:r>
      <w:rPr>
        <w:rFonts w:ascii="Arial" w:cs="Arial" w:eastAsia="Arial" w:hAnsi="Arial"/>
        <w:color w:val="7A8290"/>
        <w:sz w:val="15"/>
        <w:szCs w:val="15"/>
      </w:rPr>
      <w:t xml:space="preserve"> of </w:t>
    </w:r>
    <w:r>
      <w:rPr>
        <w:rFonts w:ascii="Arial" w:cs="Arial" w:eastAsia="Arial" w:hAnsi="Arial"/>
        <w:color w:val="7A8290"/>
        <w:sz w:val="15"/>
        <w:szCs w:val="15"/>
      </w:rPr>
      <w:fldChar w:fldCharType="begin"/>
    </w:r>
    <w:r>
      <w:rPr>
        <w:rFonts w:ascii="Arial" w:cs="Arial" w:eastAsia="Arial" w:hAnsi="Arial"/>
        <w:color w:val="7A8290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7A8290"/>
        <w:sz w:val="15"/>
        <w:szCs w:val="15"/>
      </w:rPr>
      <w:fldChar w:fldCharType="separate"/>
    </w:r>
    <w:r>
      <w:rPr>
        <w:rFonts w:ascii="Arial" w:cs="Arial" w:eastAsia="Arial" w:hAnsi="Arial"/>
        <w:color w:val="7A829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</w:pPr>
    <w:r>
      <w:drawing>
        <wp:inline distT="0" distB="0" distL="0" distR="0">
          <wp:extent cx="1066800" cy="228600"/>
          <wp:effectExtent t="0" r="0" b="0" l="0"/>
          <wp:docPr id="1" name="CathLabHub" descr="CathLabHub" title="CathLabHu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40" w:hanging="400"/>
      </w:pPr>
      <w:rPr>
        <w:rFonts w:ascii="Arial" w:cs="Arial" w:eastAsia="Arial" w:hAnsi="Arial"/>
        <w:b/>
        <w:bCs/>
        <w:color w:val="1E6FA8"/>
      </w:rPr>
    </w:lvl>
    <w:lvl w:ilvl="1" w:tentative="1">
      <w:start w:val="1"/>
      <w:numFmt w:val="bullet"/>
      <w:lvlText w:val="–"/>
      <w:lvlJc w:val="left"/>
      <w:pPr>
        <w:ind w:left="800" w:hanging="220"/>
      </w:pPr>
      <w:rPr>
        <w:rFonts w:ascii="Arial" w:cs="Arial" w:eastAsia="Arial" w:hAnsi="Arial"/>
        <w:b w:val="false"/>
        <w:bCs w:val="false"/>
        <w:color w:val="5B647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20"/>
      </w:pPr>
      <w:rPr>
        <w:rFonts w:ascii="Arial" w:cs="Arial" w:eastAsia="Arial" w:hAnsi="Arial"/>
        <w:b w:val="false"/>
        <w:bCs w:val="false"/>
        <w:color w:val="5B6472"/>
      </w:rPr>
    </w:lvl>
    <w:lvl w:ilvl="1" w:tentative="1">
      <w:start w:val="1"/>
      <w:numFmt w:val="bullet"/>
      <w:lvlText w:val="–"/>
      <w:lvlJc w:val="left"/>
      <w:pPr>
        <w:ind w:left="640" w:hanging="220"/>
      </w:pPr>
      <w:rPr>
        <w:rFonts w:ascii="Arial" w:cs="Arial" w:eastAsia="Arial" w:hAnsi="Arial"/>
        <w:b w:val="false"/>
        <w:bCs w:val="false"/>
        <w:color w:val="5B6472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40" w:hanging="400"/>
      </w:pPr>
      <w:rPr>
        <w:rFonts w:ascii="Arial" w:cs="Arial" w:eastAsia="Arial" w:hAnsi="Arial"/>
        <w:b/>
        <w:bCs/>
        <w:color w:val="1E6FA8"/>
        <w:sz w:val="19"/>
        <w:szCs w:val="19"/>
      </w:rPr>
    </w:lvl>
    <w:lvl w:ilvl="1" w:tentative="1">
      <w:start w:val="1"/>
      <w:numFmt w:val="bullet"/>
      <w:lvlText w:val="–"/>
      <w:lvlJc w:val="left"/>
      <w:pPr>
        <w:ind w:left="800" w:hanging="220"/>
      </w:pPr>
      <w:rPr>
        <w:rFonts w:ascii="Arial" w:cs="Arial" w:eastAsia="Arial" w:hAnsi="Arial"/>
        <w:b w:val="false"/>
        <w:bCs w:val="false"/>
        <w:color w:val="5B647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232C"/>
        <w:sz w:val="21"/>
        <w:szCs w:val="21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Title">
    <w:name w:val="Title"/>
    <w:basedOn w:val="Normal"/>
    <w:rPr>
      <w:rFonts w:ascii="Arial" w:cs="Arial" w:eastAsia="Arial" w:hAnsi="Arial"/>
      <w:b/>
      <w:bCs/>
      <w:color w:val="0B0E14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keepLines/>
      <w:outlineLvl w:val="0"/>
    </w:pPr>
    <w:rPr>
      <w:rFonts w:ascii="Arial" w:cs="Arial" w:eastAsia="Arial" w:hAnsi="Arial"/>
      <w:b/>
      <w:bCs/>
      <w:color w:val="1E6FA8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rFonts w:ascii="Arial" w:cs="Arial" w:eastAsia="Arial" w:hAnsi="Arial"/>
      <w:b/>
      <w:bCs/>
      <w:color w:val="1E6FA8"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rFonts w:ascii="Arial" w:cs="Arial" w:eastAsia="Arial" w:hAnsi="Arial"/>
      <w:b/>
      <w:bCs/>
      <w:color w:val="0B0E14"/>
      <w:sz w:val="21"/>
      <w:szCs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f4af304cb8ab97ee5f4bdbb6807b66e8ba28ec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CathLabHub protocol template</dc:title>
  <dc:subject>How I do it</dc:subject>
  <dc:creator>CathLabHub</dc:creator>
  <cp:keywords>CathLabHub</cp:keywords>
  <dc:description>[One sentence: what the procedure is, the access route and when this protocol applies. Replace the title above with the procedure name, for example Transcatheter aortic valve replacement (TAVR).]</dc:description>
  <cp:lastModifiedBy>CathLabHub</cp:lastModifiedBy>
  <cp:revision>1</cp:revision>
  <dcterms:created xsi:type="dcterms:W3CDTF">2026-10-24T13:56:37.696Z</dcterms:created>
  <dcterms:modified xsi:type="dcterms:W3CDTF">2026-10-24T13:56:37.696Z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